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2018年度新疆喀什地区英吉沙县人力资源和社会保障局部门决算</w:t>
      </w:r>
    </w:p>
    <w:p>
      <w:pPr>
        <w:spacing w:line="540" w:lineRule="exact"/>
        <w:jc w:val="center"/>
        <w:rPr>
          <w:rFonts w:hint="default" w:ascii="方正小标宋_GBK" w:hAnsi="宋体" w:eastAsia="方正小标宋_GBK"/>
          <w:sz w:val="44"/>
          <w:szCs w:val="44"/>
          <w:lang w:val="en-US" w:eastAsia="zh-CN"/>
        </w:rPr>
      </w:pPr>
      <w:r>
        <w:rPr>
          <w:rFonts w:hint="eastAsia" w:ascii="方正小标宋_GBK" w:hAnsi="宋体" w:eastAsia="方正小标宋_GBK"/>
          <w:sz w:val="44"/>
          <w:szCs w:val="44"/>
          <w:lang w:val="en-US" w:eastAsia="zh-CN"/>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自治区和地区有关人事工作的方针、政策、法规，对地区人事人才管理的政策、法规、细则、办法、改革方案等负责组织实施；研究拟定县机构改革人员定岗和分流的政策规定并组织实施；贯彻执行国家、自治区和地区劳动和社会保险工作方针政策、法律、法规、研究拟定全县劳动和社会保险工作基本方针、政策及劳动和社会保险制度改革方案、编制劳动和社会保险事业发展规划和年度计划并组织实施。</w:t>
      </w:r>
      <w:r>
        <w:rPr>
          <w:rFonts w:hint="eastAsia" w:ascii="仿宋_GB2312" w:eastAsia="仿宋_GB2312"/>
          <w:sz w:val="32"/>
          <w:szCs w:val="32"/>
        </w:rPr>
        <w:br w:type="textWrapping"/>
      </w:r>
      <w:r>
        <w:rPr>
          <w:rFonts w:hint="eastAsia" w:ascii="仿宋_GB2312" w:eastAsia="仿宋_GB2312"/>
          <w:sz w:val="32"/>
          <w:szCs w:val="32"/>
        </w:rPr>
        <w:t xml:space="preserve">    2、负责全县国家机关、事业单位的人员计划和工资计划的审核上报；负责县机关、事业单位增加人员计划和工资基金的审批。</w:t>
      </w:r>
      <w:r>
        <w:rPr>
          <w:rFonts w:hint="eastAsia" w:ascii="仿宋_GB2312" w:eastAsia="仿宋_GB2312"/>
          <w:sz w:val="32"/>
          <w:szCs w:val="32"/>
        </w:rPr>
        <w:br w:type="textWrapping"/>
      </w:r>
      <w:r>
        <w:rPr>
          <w:rFonts w:hint="eastAsia" w:ascii="仿宋_GB2312" w:eastAsia="仿宋_GB2312"/>
          <w:sz w:val="32"/>
          <w:szCs w:val="32"/>
        </w:rPr>
        <w:t xml:space="preserve">    3、综合管理全县国家公务员，完善国家公务员制度，改善公务员队伍结构，提高公务员队伍整体素质。对自治区国家公务员制度实施办法和配套政策、法规（包括职位分类、录用、考核、奖励、纪律、职务、升降、惩戒、职务任免、培训、交流、回避、工资福利、辞职辞退、退休、申诉控告等）组织实施；指导和协调各部门推行国家公务员制度；认真贯彻落实自治区和地区制定的事业单位工作人员考核、辞职、辞退等政策、办法。</w:t>
      </w:r>
      <w:r>
        <w:rPr>
          <w:rFonts w:hint="eastAsia" w:ascii="仿宋_GB2312" w:eastAsia="仿宋_GB2312"/>
          <w:sz w:val="32"/>
          <w:szCs w:val="32"/>
        </w:rPr>
        <w:br w:type="textWrapping"/>
      </w:r>
      <w:r>
        <w:rPr>
          <w:rFonts w:hint="eastAsia" w:ascii="仿宋_GB2312" w:eastAsia="仿宋_GB2312"/>
          <w:sz w:val="32"/>
          <w:szCs w:val="32"/>
        </w:rPr>
        <w:t xml:space="preserve">    4、综合管理专业技术人员工作。负责专业技术人员职务聘任和专业技术资格的评定、考试，建立专业技术人员执业资格制度，研究制定专业技术人员队伍建设和继续教育的措施办法并组织实施；组织指导机关、事业单位工人的技术等级考核工作。</w:t>
      </w:r>
      <w:r>
        <w:rPr>
          <w:rFonts w:hint="eastAsia" w:ascii="仿宋_GB2312" w:eastAsia="仿宋_GB2312"/>
          <w:sz w:val="32"/>
          <w:szCs w:val="32"/>
        </w:rPr>
        <w:br w:type="textWrapping"/>
      </w:r>
      <w:r>
        <w:rPr>
          <w:rFonts w:hint="eastAsia" w:ascii="仿宋_GB2312" w:eastAsia="仿宋_GB2312"/>
          <w:sz w:val="32"/>
          <w:szCs w:val="32"/>
        </w:rPr>
        <w:t xml:space="preserve">    5、贯彻自治区和地区人才流动的政策、法规，制定全县人才流动政策、规定，贯彻实施自治区关于西部人才资源开发战略，研究拟定县人才市场资源开发的有关政策，组织各类人员合理流动，发展、规范人才市场，建立人才流动的社会调节机制，拟定非师范类大中专毕业生的指导就业计划并组织实施。</w:t>
      </w:r>
      <w:r>
        <w:rPr>
          <w:rFonts w:hint="eastAsia" w:ascii="仿宋_GB2312" w:eastAsia="仿宋_GB2312"/>
          <w:sz w:val="32"/>
          <w:szCs w:val="32"/>
        </w:rPr>
        <w:br w:type="textWrapping"/>
      </w:r>
      <w:r>
        <w:rPr>
          <w:rFonts w:hint="eastAsia" w:ascii="仿宋_GB2312" w:eastAsia="仿宋_GB2312"/>
          <w:sz w:val="32"/>
          <w:szCs w:val="32"/>
        </w:rPr>
        <w:t xml:space="preserve">    6、综合管理全县机关、事业单位的工资工作。负责县机关、事业单位工作人员工资调整、晋升的审核审批工作；对全县国家机关、事业单位工作人员福利和离退休、退职政策组织实施，综合管理机关、事业单位工作人员退休、退职工作。</w:t>
      </w:r>
      <w:r>
        <w:rPr>
          <w:rFonts w:hint="eastAsia" w:ascii="仿宋_GB2312" w:eastAsia="仿宋_GB2312"/>
          <w:sz w:val="32"/>
          <w:szCs w:val="32"/>
        </w:rPr>
        <w:br w:type="textWrapping"/>
      </w:r>
      <w:r>
        <w:rPr>
          <w:rFonts w:hint="eastAsia" w:ascii="仿宋_GB2312" w:eastAsia="仿宋_GB2312"/>
          <w:sz w:val="32"/>
          <w:szCs w:val="32"/>
        </w:rPr>
        <w:t xml:space="preserve">    7、根据国家、自治区和地区劳动和社会保障法规条例，研究拟定全县规章和规范性文件，并组织实施和监督检查；制定我县劳动和社会保障政策服务咨询机构的管理规划；依法行使劳动和社会保险监督检查职权，贯彻执行国家、自治区和地区劳动和社会保险的监督检查规范。</w:t>
      </w:r>
      <w:r>
        <w:rPr>
          <w:rFonts w:hint="eastAsia" w:ascii="仿宋_GB2312" w:eastAsia="仿宋_GB2312"/>
          <w:sz w:val="32"/>
          <w:szCs w:val="32"/>
        </w:rPr>
        <w:br w:type="textWrapping"/>
      </w:r>
      <w:r>
        <w:rPr>
          <w:rFonts w:hint="eastAsia" w:ascii="仿宋_GB2312" w:eastAsia="仿宋_GB2312"/>
          <w:sz w:val="32"/>
          <w:szCs w:val="32"/>
        </w:rPr>
        <w:t xml:space="preserve">    8、负责统筹规划全县劳动力资源的开发利用和就业工作，研究拟定全县促进城乡就业的基本政策和措施；规划全县人力资源市场的发展，组织建立、健全就业服务体系；贯彻执行国家、自治区和地区人力资源市场、职业介绍及机构的管理规则；拟定企业下岗职工的分流安置、基本生活保障和再就业规划、政策，组织实施再就业工程；拟定农村剩余劳动力开发就业、农村劳动力跨县区有序流动政策、措施并组织实施；拟定全县人员境外（区外）就业和境外（区外）人员在我县就业的政策并组织实施。</w:t>
      </w:r>
      <w:r>
        <w:rPr>
          <w:rFonts w:hint="eastAsia" w:ascii="仿宋_GB2312" w:eastAsia="仿宋_GB2312"/>
          <w:sz w:val="32"/>
          <w:szCs w:val="32"/>
        </w:rPr>
        <w:br w:type="textWrapping"/>
      </w:r>
      <w:r>
        <w:rPr>
          <w:rFonts w:hint="eastAsia" w:ascii="仿宋_GB2312" w:eastAsia="仿宋_GB2312"/>
          <w:sz w:val="32"/>
          <w:szCs w:val="32"/>
        </w:rPr>
        <w:t xml:space="preserve">    9、贯彻执行国家、自治区和地区职业技能鉴定政策；建立职业资格证书制度；制定本县企业在职职工技能培训和失业人员、企业下岗职工再就业培训的发展规划及管理规则；组织劳动预备制的实施工作。10落实协调劳动关系的基本规则，指导用人单位与劳动者依法建立劳动关系，制定劳动合同、集体合同的实施规划；落实劳动和社会保险争议处理制度及仲裁的规范、规则，管理劳动和社会保险争议处理并监督执行；贯彻落实企业职工探亲、休假等福利政策；审核并发布企业劳动定员、定额标准；贯彻落实国家、自治区和地区有关企业职工工作时间、休息、休假制度和女工、未成年工特殊劳动保护政策；负责政策性安置和调配工作；参与评定本县企业劳动模范。</w:t>
      </w:r>
      <w:r>
        <w:rPr>
          <w:rFonts w:hint="eastAsia" w:ascii="仿宋_GB2312" w:eastAsia="仿宋_GB2312"/>
          <w:sz w:val="32"/>
          <w:szCs w:val="32"/>
        </w:rPr>
        <w:br w:type="textWrapping"/>
      </w:r>
      <w:r>
        <w:rPr>
          <w:rFonts w:hint="eastAsia" w:ascii="仿宋_GB2312" w:eastAsia="仿宋_GB2312"/>
          <w:sz w:val="32"/>
          <w:szCs w:val="32"/>
        </w:rPr>
        <w:t xml:space="preserve">    11、组织实施社会保险的基本政策和基本标准并监督检查。</w:t>
      </w:r>
      <w:r>
        <w:rPr>
          <w:rFonts w:hint="eastAsia" w:ascii="仿宋_GB2312" w:eastAsia="仿宋_GB2312"/>
          <w:sz w:val="32"/>
          <w:szCs w:val="32"/>
        </w:rPr>
        <w:br w:type="textWrapping"/>
      </w:r>
      <w:r>
        <w:rPr>
          <w:rFonts w:hint="eastAsia" w:ascii="仿宋_GB2312" w:eastAsia="仿宋_GB2312"/>
          <w:sz w:val="32"/>
          <w:szCs w:val="32"/>
        </w:rPr>
        <w:t xml:space="preserve">    12、贯彻执行社会保险基金收缴、支付、管理、运营的政策；对全县社会保险基金预决算提出审核意见；对社会保险基金管理实施行政监督；制定社会保险经办机构和社会保险服务体系建设的管理规划并组织实施。</w:t>
      </w:r>
      <w:r>
        <w:rPr>
          <w:rFonts w:hint="eastAsia" w:ascii="仿宋_GB2312" w:eastAsia="仿宋_GB2312"/>
          <w:sz w:val="32"/>
          <w:szCs w:val="32"/>
        </w:rPr>
        <w:br w:type="textWrapping"/>
      </w:r>
      <w:r>
        <w:rPr>
          <w:rFonts w:hint="eastAsia" w:ascii="仿宋_GB2312" w:eastAsia="仿宋_GB2312"/>
          <w:sz w:val="32"/>
          <w:szCs w:val="32"/>
        </w:rPr>
        <w:t xml:space="preserve">    13、贯彻执行机关、事业、企业单位补充养老保险（企业年金）、补充医疗保险的政策和社会承办机构资格认定工作；审查认定有关机构承办补充保险业务的资格。</w:t>
      </w:r>
      <w:r>
        <w:rPr>
          <w:rFonts w:hint="eastAsia" w:ascii="仿宋_GB2312" w:eastAsia="仿宋_GB2312"/>
          <w:sz w:val="32"/>
          <w:szCs w:val="32"/>
        </w:rPr>
        <w:br w:type="textWrapping"/>
      </w:r>
      <w:r>
        <w:rPr>
          <w:rFonts w:hint="eastAsia" w:ascii="仿宋_GB2312" w:eastAsia="仿宋_GB2312"/>
          <w:sz w:val="32"/>
          <w:szCs w:val="32"/>
        </w:rPr>
        <w:t xml:space="preserve">    14、承担全县劳动和社会保险统计和信息工作，组织建设全县劳动和社会保险统计信息网络，定期发布劳动和社会保险事业统计公报、信息资料及发展预测报告。</w:t>
      </w:r>
      <w:r>
        <w:rPr>
          <w:rFonts w:hint="eastAsia" w:ascii="仿宋_GB2312" w:eastAsia="仿宋_GB2312"/>
          <w:sz w:val="32"/>
          <w:szCs w:val="32"/>
        </w:rPr>
        <w:br w:type="textWrapping"/>
      </w:r>
      <w:r>
        <w:rPr>
          <w:rFonts w:hint="eastAsia" w:ascii="仿宋_GB2312" w:eastAsia="仿宋_GB2312"/>
          <w:sz w:val="32"/>
          <w:szCs w:val="32"/>
        </w:rPr>
        <w:t xml:space="preserve">    15、根据国家颁布的职业分类、职业技能标准和行业标准，组织本县农村劳动力和城市下岗失业人员开展各类技能培训，并负责组织协调劳动力职业技能等级鉴定工作。负责开展职业介绍和职业指导，承担本县乡镇劳动力资源统计并组织乡镇富余劳动力参加劳务派遣和劳务输出职能。</w:t>
      </w:r>
      <w:r>
        <w:rPr>
          <w:rFonts w:hint="eastAsia" w:ascii="仿宋_GB2312" w:eastAsia="仿宋_GB2312"/>
          <w:sz w:val="32"/>
          <w:szCs w:val="32"/>
        </w:rPr>
        <w:br w:type="textWrapping"/>
      </w:r>
      <w:r>
        <w:rPr>
          <w:rFonts w:hint="eastAsia" w:ascii="仿宋_GB2312" w:eastAsia="仿宋_GB2312"/>
          <w:sz w:val="32"/>
          <w:szCs w:val="32"/>
        </w:rPr>
        <w:t xml:space="preserve">    16、负责社会养老保险各项政策、法规的宣传并组织实施，制定社会养老保险各项业务管理规章制度，规范业务程序，实时监控和定期检查基金的筹集、上解、划拨及发放。</w:t>
      </w:r>
      <w:r>
        <w:rPr>
          <w:rFonts w:hint="eastAsia" w:ascii="仿宋_GB2312" w:eastAsia="仿宋_GB2312"/>
          <w:sz w:val="32"/>
          <w:szCs w:val="32"/>
        </w:rPr>
        <w:br w:type="textWrapping"/>
      </w:r>
      <w:r>
        <w:rPr>
          <w:rFonts w:hint="eastAsia" w:ascii="仿宋_GB2312" w:eastAsia="仿宋_GB2312"/>
          <w:sz w:val="32"/>
          <w:szCs w:val="32"/>
        </w:rPr>
        <w:t xml:space="preserve">    17、用工登记：为用人单位办理登记手续，审核用人单位资质、了解招</w:t>
      </w:r>
      <w:r>
        <w:rPr>
          <w:rFonts w:hint="eastAsia" w:ascii="仿宋_GB2312" w:eastAsia="仿宋_GB2312"/>
          <w:sz w:val="32"/>
          <w:szCs w:val="32"/>
          <w:lang w:eastAsia="zh-CN"/>
        </w:rPr>
        <w:t>录</w:t>
      </w:r>
      <w:r>
        <w:rPr>
          <w:rFonts w:hint="eastAsia" w:ascii="仿宋_GB2312" w:eastAsia="仿宋_GB2312"/>
          <w:sz w:val="32"/>
          <w:szCs w:val="32"/>
        </w:rPr>
        <w:t>需求、提供用人指导，并进行登记、发布信息；求职登记：审核求职者身份证明材料、了解其求职意愿，指导其填写《求职登记表》，办理个人求职信息登记，并提供岗位空缺信息、职业供求状况分析信息、有关劳动保障政策法规等就业服务；录用备案：接收并查验录用人员花名册、登记表及录用人员有关证明等相关材料；承办各种类型洽谈会，为求职者和用人单位双向选择提供洽谈场所。</w:t>
      </w:r>
      <w:r>
        <w:rPr>
          <w:rFonts w:hint="eastAsia" w:ascii="仿宋_GB2312" w:eastAsia="仿宋_GB2312"/>
          <w:sz w:val="32"/>
          <w:szCs w:val="32"/>
        </w:rPr>
        <w:br w:type="textWrapping"/>
      </w:r>
      <w:r>
        <w:rPr>
          <w:rFonts w:hint="eastAsia" w:ascii="仿宋_GB2312" w:eastAsia="仿宋_GB2312"/>
          <w:sz w:val="32"/>
          <w:szCs w:val="32"/>
        </w:rPr>
        <w:t xml:space="preserve">    18、承办县委、县人民政府交办的其他事项。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新疆喀什地区英吉沙县人力资源和社会保障局（本级）</w:t>
      </w:r>
      <w:r>
        <w:rPr>
          <w:rFonts w:hint="eastAsia" w:ascii="仿宋_GB2312" w:eastAsia="仿宋_GB2312"/>
          <w:sz w:val="32"/>
          <w:szCs w:val="32"/>
        </w:rPr>
        <w:t>部门决算包括：</w:t>
      </w:r>
      <w:r>
        <w:rPr>
          <w:rFonts w:ascii="仿宋_GB2312" w:eastAsia="仿宋_GB2312"/>
          <w:sz w:val="32"/>
          <w:szCs w:val="32"/>
        </w:rPr>
        <w:t>新疆喀什地区英吉沙县人力资源和社会保障局（本级）</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新疆喀什地区英吉沙县人力资源和社会保障局（本级）</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新疆喀什地区英吉沙县人力资源和社会保障局（本级</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3,489.81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，与上年相比，减少25.44万元，降低0.72%，减少的主要原因是：</w:t>
      </w:r>
      <w:r>
        <w:rPr>
          <w:rFonts w:hint="eastAsia" w:ascii="仿宋_GB2312" w:eastAsia="仿宋_GB2312"/>
          <w:color w:val="000000" w:themeColor="text1"/>
          <w:sz w:val="32"/>
          <w:szCs w:val="32"/>
        </w:rPr>
        <w:t>国库将断保接续借款资金作为收入，年终决算反应在收入里；</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3,489.81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，与上年相比，减少25.44万元，下降0.72%，减少的主要原因是：</w:t>
      </w:r>
      <w:r>
        <w:rPr>
          <w:rFonts w:hint="eastAsia" w:ascii="仿宋_GB2312" w:eastAsia="仿宋_GB2312"/>
          <w:color w:val="000000" w:themeColor="text1"/>
          <w:sz w:val="32"/>
          <w:szCs w:val="32"/>
        </w:rPr>
        <w:t>国库将断保接续借款资金做支出，年终决算反应在支出里；</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 xml:space="preserve"> ，增长0%</w:t>
      </w:r>
      <w:r>
        <w:rPr>
          <w:rFonts w:hint="eastAsia" w:ascii="仿宋_GB2312" w:eastAsia="仿宋_GB2312"/>
          <w:sz w:val="32"/>
          <w:szCs w:val="32"/>
        </w:rPr>
        <w:t>，增减变化主要原因是：</w:t>
      </w:r>
      <w:r>
        <w:rPr>
          <w:rFonts w:ascii="仿宋_GB2312" w:eastAsia="仿宋_GB2312"/>
          <w:color w:val="000000" w:themeColor="text1"/>
          <w:sz w:val="32"/>
          <w:szCs w:val="32"/>
        </w:rPr>
        <w:t>资金执行到位，年末无结余。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3,489.81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3,484.92</w:t>
      </w:r>
      <w:r>
        <w:rPr>
          <w:rFonts w:hint="eastAsia" w:ascii="仿宋_GB2312" w:eastAsia="仿宋_GB2312"/>
          <w:color w:val="000000" w:themeColor="text1"/>
          <w:sz w:val="32"/>
          <w:szCs w:val="32"/>
        </w:rPr>
        <w:t>万元，占</w:t>
      </w:r>
      <w:r>
        <w:rPr>
          <w:rFonts w:hint="eastAsia" w:ascii="仿宋_GB2312" w:eastAsia="仿宋_GB2312"/>
          <w:sz w:val="32"/>
          <w:szCs w:val="32"/>
        </w:rPr>
        <w:t>99.86%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4.89</w:t>
      </w:r>
      <w:r>
        <w:rPr>
          <w:rFonts w:hint="eastAsia" w:ascii="仿宋_GB2312" w:eastAsia="仿宋_GB2312"/>
          <w:color w:val="000000" w:themeColor="text1"/>
          <w:sz w:val="32"/>
          <w:szCs w:val="32"/>
        </w:rPr>
        <w:t>万元，占</w:t>
      </w:r>
      <w:r>
        <w:rPr>
          <w:rFonts w:hint="eastAsia" w:ascii="仿宋_GB2312" w:eastAsia="仿宋_GB2312"/>
          <w:sz w:val="32"/>
          <w:szCs w:val="32"/>
        </w:rPr>
        <w:t>0.14%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况：本年收入年初预算数467.69万元</w:t>
      </w:r>
      <w:r>
        <w:rPr>
          <w:rFonts w:hint="eastAsia" w:ascii="仿宋_GB2312" w:eastAsia="仿宋_GB2312"/>
          <w:sz w:val="32"/>
          <w:szCs w:val="32"/>
        </w:rPr>
        <w:t>，决算数3,489.81万元</w:t>
      </w:r>
      <w:r>
        <w:rPr>
          <w:rFonts w:ascii="仿宋_GB2312" w:eastAsia="仿宋_GB2312"/>
          <w:sz w:val="32"/>
          <w:szCs w:val="32"/>
        </w:rPr>
        <w:t>，预决算差异率646.18%，差异主要原因是</w:t>
      </w:r>
      <w:r>
        <w:rPr>
          <w:rFonts w:hint="eastAsia" w:ascii="仿宋_GB2312" w:eastAsia="仿宋_GB2312"/>
          <w:sz w:val="32"/>
          <w:szCs w:val="32"/>
          <w:lang w:eastAsia="zh-CN"/>
        </w:rPr>
        <w:t>：</w:t>
      </w:r>
      <w:r>
        <w:rPr>
          <w:rFonts w:ascii="仿宋_GB2312" w:eastAsia="仿宋_GB2312"/>
          <w:sz w:val="32"/>
          <w:szCs w:val="32"/>
        </w:rPr>
        <w:t>年初预算467.69万元包含工资福利支出、商品和服务支出、对个人和家庭的补助支出三项收入，不包含项目资金预算，项目年初未做预算。而决算数3489.８1万元中包含工资福利支出、商品和服务支出、对个人和家庭的补助支出三项实际收入；包含项目资金收入；包含国库将断保接续借款资金做收入；包含其他收入。所以有差异。</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3,489.81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961.97</w:t>
      </w:r>
      <w:r>
        <w:rPr>
          <w:rFonts w:hint="eastAsia" w:ascii="仿宋_GB2312" w:eastAsia="仿宋_GB2312"/>
          <w:color w:val="000000" w:themeColor="text1"/>
          <w:sz w:val="32"/>
          <w:szCs w:val="32"/>
        </w:rPr>
        <w:t>万元，占</w:t>
      </w:r>
      <w:r>
        <w:rPr>
          <w:rFonts w:hint="eastAsia" w:ascii="仿宋_GB2312" w:eastAsia="仿宋_GB2312"/>
          <w:sz w:val="32"/>
          <w:szCs w:val="32"/>
        </w:rPr>
        <w:t>27.57%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2,527.84</w:t>
      </w:r>
      <w:r>
        <w:rPr>
          <w:rFonts w:hint="eastAsia" w:ascii="仿宋_GB2312" w:eastAsia="仿宋_GB2312"/>
          <w:color w:val="000000" w:themeColor="text1"/>
          <w:sz w:val="32"/>
          <w:szCs w:val="32"/>
        </w:rPr>
        <w:t>万元，占</w:t>
      </w:r>
      <w:r>
        <w:rPr>
          <w:rFonts w:hint="eastAsia" w:ascii="仿宋_GB2312" w:eastAsia="仿宋_GB2312"/>
          <w:sz w:val="32"/>
          <w:szCs w:val="32"/>
        </w:rPr>
        <w:t>72.43%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与年初预算数相比情况：本年支出年初预算数467.69万元，</w:t>
      </w:r>
      <w:r>
        <w:rPr>
          <w:rFonts w:hint="eastAsia" w:ascii="仿宋_GB2312" w:eastAsia="仿宋_GB2312"/>
          <w:sz w:val="32"/>
          <w:szCs w:val="32"/>
        </w:rPr>
        <w:t>决算数3,489.81万元</w:t>
      </w:r>
      <w:r>
        <w:rPr>
          <w:rFonts w:ascii="仿宋_GB2312" w:eastAsia="仿宋_GB2312"/>
          <w:sz w:val="32"/>
          <w:szCs w:val="32"/>
        </w:rPr>
        <w:t>，预决算差异率646.18%，差异主要原因是</w:t>
      </w:r>
      <w:r>
        <w:rPr>
          <w:rFonts w:hint="eastAsia" w:ascii="仿宋_GB2312" w:eastAsia="仿宋_GB2312"/>
          <w:sz w:val="32"/>
          <w:szCs w:val="32"/>
          <w:lang w:eastAsia="zh-CN"/>
        </w:rPr>
        <w:t>：</w:t>
      </w:r>
      <w:r>
        <w:rPr>
          <w:rFonts w:ascii="仿宋_GB2312" w:eastAsia="仿宋_GB2312"/>
          <w:sz w:val="32"/>
          <w:szCs w:val="32"/>
        </w:rPr>
        <w:t>年初预算467.69万元包含工资福利支出、商品和服务支出、对个人和家庭的补助支出三项支出，不包含项目资金预算，项目年初未做预算。而决算数3489.８1万元中包含工资福利支出、商品和服务支出、对个人和家庭的补助支出三项实际支出；包含项目资金支出；包含国库将断保接续借款资金做支出；包含其他支出。所以有差异。</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3,484.92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，与上年相比，减少30.33万元，降低0.86%，增减变化的主要原因是：国库将断保接续借款资金作为收入，年终决算反应在收入里了。</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3,484.92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，与上年相比，减少30.33万元，下降0.86%，减少的主要原因是：</w:t>
      </w:r>
      <w:r>
        <w:rPr>
          <w:rFonts w:ascii="仿宋_GB2312" w:eastAsia="仿宋_GB2312"/>
          <w:sz w:val="32"/>
          <w:szCs w:val="32"/>
        </w:rPr>
        <w:t>国库将断保接续借款资金作为支出，年终决算反应在支出里了。</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957.08</w:t>
      </w:r>
      <w:r>
        <w:rPr>
          <w:rFonts w:hint="eastAsia" w:ascii="仿宋_GB2312" w:eastAsia="仿宋_GB2312"/>
          <w:color w:val="000000" w:themeColor="text1"/>
          <w:sz w:val="32"/>
          <w:szCs w:val="32"/>
        </w:rPr>
        <w:t>万元，项目支出</w:t>
      </w:r>
      <w:r>
        <w:rPr>
          <w:rFonts w:hint="eastAsia" w:ascii="仿宋_GB2312" w:eastAsia="仿宋_GB2312"/>
          <w:sz w:val="32"/>
          <w:szCs w:val="32"/>
        </w:rPr>
        <w:t>2,527.84</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增长0%，</w:t>
      </w:r>
      <w:r>
        <w:rPr>
          <w:rFonts w:hint="eastAsia" w:ascii="仿宋_GB2312" w:eastAsia="仿宋_GB2312"/>
          <w:sz w:val="32"/>
          <w:szCs w:val="32"/>
        </w:rPr>
        <w:t>增减变化主要原因是：资金执行到位，年末无结余。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467.69</w:t>
      </w:r>
      <w:r>
        <w:rPr>
          <w:rFonts w:hint="eastAsia" w:ascii="仿宋_GB2312" w:eastAsia="仿宋_GB2312"/>
          <w:color w:val="000000" w:themeColor="text1"/>
          <w:sz w:val="32"/>
          <w:szCs w:val="32"/>
        </w:rPr>
        <w:t>万元，决算数</w:t>
      </w:r>
      <w:r>
        <w:rPr>
          <w:rFonts w:hint="eastAsia" w:ascii="仿宋_GB2312" w:eastAsia="仿宋_GB2312"/>
          <w:sz w:val="32"/>
          <w:szCs w:val="32"/>
        </w:rPr>
        <w:t>3,484.92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，预决算差异率645.13%，差异主要原因是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年初预算467.69万元包含工资福利支出、商品和服务支出、对个人和家庭的补助支出三项收入，不包含项目资金预算，项目年初未做预算。而决算数3484.92万元中包含工资福利支出、商品和服务支出、对个人和家庭的补助支出三项实际收入；包含项目资金收入；包含国库将断保接续借款资金做收入。</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467.69</w:t>
      </w:r>
      <w:r>
        <w:rPr>
          <w:rFonts w:hint="eastAsia" w:ascii="仿宋_GB2312" w:eastAsia="仿宋_GB2312"/>
          <w:color w:val="000000" w:themeColor="text1"/>
          <w:sz w:val="32"/>
          <w:szCs w:val="32"/>
        </w:rPr>
        <w:t>万元，决算数</w:t>
      </w:r>
      <w:r>
        <w:rPr>
          <w:rFonts w:hint="eastAsia" w:ascii="仿宋_GB2312" w:eastAsia="仿宋_GB2312"/>
          <w:sz w:val="32"/>
          <w:szCs w:val="32"/>
        </w:rPr>
        <w:t>3,484.92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，预决算差异率645.13%，差异主要原因是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年初预算467.69万元包含工资福利支出、商品和服务支出、对个人和家庭的补助支出三项支出，不包含项目资金预算，项目年初未做预算。而决算数3484.92万元中包含工资福利支出、商品和服务支出、对个人和家庭的补助支出三项实际支出；包含项目资金支出；包含国库将断保接续借款资金做支出。</w:t>
      </w:r>
      <w:bookmarkEnd w:id="33"/>
      <w:bookmarkStart w:id="91" w:name="_GoBack"/>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3,484.92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，与上年相比，减少30.33万元，</w:t>
      </w:r>
      <w:r>
        <w:rPr>
          <w:rFonts w:hint="eastAsia" w:ascii="仿宋_GB2312" w:eastAsia="仿宋_GB2312"/>
          <w:color w:val="000000" w:themeColor="text1"/>
          <w:sz w:val="32"/>
          <w:szCs w:val="32"/>
          <w:lang w:val="en-US" w:eastAsia="zh-CN"/>
        </w:rPr>
        <w:t>降低</w:t>
      </w:r>
      <w:r>
        <w:rPr>
          <w:rFonts w:ascii="仿宋_GB2312" w:eastAsia="仿宋_GB2312"/>
          <w:color w:val="000000" w:themeColor="text1"/>
          <w:sz w:val="32"/>
          <w:szCs w:val="32"/>
        </w:rPr>
        <w:t>0.86%，</w:t>
      </w:r>
      <w:r>
        <w:rPr>
          <w:rFonts w:hint="eastAsia" w:ascii="仿宋_GB2312" w:eastAsia="仿宋_GB2312"/>
          <w:sz w:val="32"/>
          <w:szCs w:val="32"/>
        </w:rPr>
        <w:t>增减变化</w:t>
      </w:r>
      <w:r>
        <w:rPr>
          <w:rFonts w:ascii="仿宋_GB2312" w:eastAsia="仿宋_GB2312"/>
          <w:color w:val="000000" w:themeColor="text1"/>
          <w:sz w:val="32"/>
          <w:szCs w:val="32"/>
        </w:rPr>
        <w:t>的主要原因是：2018年项目资金收入较上年减少，而工资福利支出较上年增加，工资福利支出包含国库将断保接续借款资金作为收入这块资金，且年终决算反应在收入里，总体较上年减少。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3,484.92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，与上年相比，减少30.33万元，</w:t>
      </w:r>
      <w:r>
        <w:rPr>
          <w:rFonts w:hint="eastAsia" w:ascii="仿宋_GB2312" w:eastAsia="仿宋_GB2312"/>
          <w:color w:val="000000" w:themeColor="text1"/>
          <w:sz w:val="32"/>
          <w:szCs w:val="32"/>
          <w:lang w:val="en-US" w:eastAsia="zh-CN"/>
        </w:rPr>
        <w:t>降低</w:t>
      </w:r>
      <w:r>
        <w:rPr>
          <w:rFonts w:hint="eastAsia" w:ascii="仿宋_GB2312" w:eastAsia="仿宋_GB2312"/>
          <w:sz w:val="32"/>
          <w:szCs w:val="32"/>
        </w:rPr>
        <w:t>0.86%，增减变化的主要原因是：2018年项目资金支出较上年减少，而工资福利支出较上年增加，工资福利支出包含国库将断保接续借款资金作为支出这块资金，且年终决算反应在支出里，总体较上年减少。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住房保障支出34.67万元,一般公共服务支出869.21万元,资源勘探信息等支出538.46万元,社会保障和就业支出2,042.58万元。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工资福利支出463.35万元,商品和服务支出212.43万元,对个人和家庭的补助2,270.68万元,对企业补助538.46万元。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467.69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3,484.92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，预决算差异率645.13%，差异主要原因是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一般公共预算财政拨款收入年初预算467.69万元包含工资福利支出、商品和服务支出、对个人和家庭的补助支出三项收入，不包含项目资金预算，项目年初未做预算。而决算数3484.92万元中包含工资福利支出、商品和服务支出、对个人和家庭的补助支出三项实际收入；包含项目资金收入；包含国库将断保接续借款资金做收入。所以有差异。</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467.69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3,484.92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，预决算差异率645.13%，差异主要原因是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一般公共预算财政拨款支出年初预算467.69万元包含工资福利支出、商品和服务支出、对个人和家庭的补助支出三项收入，不包含项目资金预算，项目年初未做预算。而决算数3484.92万元中包含工资福利支出、商品和服务支出、对个人和家庭的补助支出三项实际支出；包含项目资金支出；包含国库将断保接续借款资金做支出。所以有差异。</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%。增减变化的主要原因是：本单位无此项预算安排。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%。增减变化的主要原因是：本单位无此项预算安排。其中：按功能分类科目（按类级科目公开），支出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万元。按经济分类科目（按类级科目公开），支出</w:t>
      </w:r>
      <w:r>
        <w:rPr>
          <w:rFonts w:hint="eastAsia" w:ascii="仿宋_GB2312" w:eastAsia="仿宋_GB2312"/>
          <w:sz w:val="32"/>
          <w:szCs w:val="32"/>
          <w:lang w:val="en-US" w:eastAsia="zh-CN"/>
        </w:rPr>
        <w:t>0</w:t>
      </w:r>
      <w:r>
        <w:rPr>
          <w:rFonts w:hint="eastAsia" w:ascii="仿宋_GB2312" w:eastAsia="仿宋_GB2312"/>
          <w:sz w:val="32"/>
          <w:szCs w:val="32"/>
        </w:rPr>
        <w:t>万元。</w:t>
      </w:r>
    </w:p>
    <w:bookmarkEnd w:id="47"/>
    <w:p>
      <w:pPr>
        <w:spacing w:line="540" w:lineRule="exact"/>
        <w:ind w:firstLine="640" w:firstLineChars="200"/>
        <w:rPr>
          <w:rFonts w:ascii="仿宋_GB2312" w:eastAsia="仿宋_GB2312"/>
          <w:color w:val="000000" w:themeColor="text1"/>
          <w:sz w:val="32"/>
          <w:szCs w:val="32"/>
        </w:rPr>
      </w:pPr>
      <w:bookmarkStart w:id="48" w:name="OLE_LINK71"/>
      <w:bookmarkStart w:id="49"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bookmarkEnd w:id="48"/>
      <w:bookmarkEnd w:id="49"/>
      <w:bookmarkStart w:id="50"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bookmarkEnd w:id="50"/>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1" w:name="OLE_LINK26"/>
      <w:bookmarkStart w:id="52" w:name="OLE_LINK25"/>
      <w:r>
        <w:rPr>
          <w:rFonts w:hint="eastAsia" w:ascii="仿宋_GB2312" w:eastAsia="仿宋_GB2312"/>
          <w:color w:val="000000" w:themeColor="text1"/>
          <w:sz w:val="32"/>
          <w:szCs w:val="32"/>
        </w:rPr>
        <w:t>年末结转结余</w:t>
      </w:r>
      <w:bookmarkEnd w:id="51"/>
      <w:bookmarkEnd w:id="52"/>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color w:val="000000" w:themeColor="text1"/>
          <w:sz w:val="32"/>
          <w:szCs w:val="32"/>
        </w:rPr>
        <w:t>其中</w:t>
      </w:r>
      <w:bookmarkStart w:id="53" w:name="OLE_LINK27"/>
      <w:bookmarkStart w:id="54" w:name="OLE_LINK28"/>
      <w:r>
        <w:rPr>
          <w:rFonts w:hint="eastAsia" w:ascii="仿宋_GB2312" w:eastAsia="仿宋_GB2312"/>
          <w:color w:val="000000" w:themeColor="text1"/>
          <w:sz w:val="32"/>
          <w:szCs w:val="32"/>
        </w:rPr>
        <w:t>财政拨款结转结余</w:t>
      </w:r>
      <w:bookmarkEnd w:id="53"/>
      <w:bookmarkEnd w:id="54"/>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5" w:name="OLE_LINK74"/>
      <w:r>
        <w:rPr>
          <w:rFonts w:hint="eastAsia" w:ascii="仿宋_GB2312" w:eastAsia="仿宋_GB2312"/>
          <w:color w:val="000000" w:themeColor="text1"/>
          <w:sz w:val="32"/>
          <w:szCs w:val="32"/>
        </w:rPr>
        <w:t>2018年度</w:t>
      </w:r>
      <w:bookmarkStart w:id="56" w:name="OLE_LINK29"/>
      <w:r>
        <w:rPr>
          <w:rFonts w:hint="eastAsia" w:ascii="仿宋_GB2312" w:eastAsia="仿宋_GB2312"/>
          <w:color w:val="000000" w:themeColor="text1"/>
          <w:sz w:val="32"/>
          <w:szCs w:val="32"/>
        </w:rPr>
        <w:t>一般公共预算“三公”经费支出决算</w:t>
      </w:r>
      <w:bookmarkEnd w:id="5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，比上年减少</w:t>
      </w:r>
      <w:r>
        <w:rPr>
          <w:rFonts w:hint="eastAsia" w:ascii="仿宋_GB2312" w:eastAsia="仿宋_GB2312"/>
          <w:sz w:val="32"/>
          <w:szCs w:val="32"/>
          <w:lang w:val="en-US" w:eastAsia="zh-CN"/>
        </w:rPr>
        <w:t>0</w:t>
      </w:r>
      <w:r>
        <w:rPr>
          <w:rFonts w:hint="eastAsia" w:ascii="仿宋_GB2312" w:eastAsia="仿宋_GB2312"/>
          <w:sz w:val="32"/>
          <w:szCs w:val="32"/>
        </w:rPr>
        <w:t>万元，降低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减少的</w:t>
      </w:r>
      <w:r>
        <w:rPr>
          <w:rFonts w:hint="eastAsia" w:ascii="仿宋_GB2312" w:eastAsia="仿宋_GB2312"/>
          <w:sz w:val="32"/>
          <w:szCs w:val="32"/>
        </w:rPr>
        <w:t>原因是：本单位</w:t>
      </w:r>
      <w:r>
        <w:rPr>
          <w:rFonts w:hint="eastAsia" w:ascii="仿宋_GB2312" w:eastAsia="仿宋_GB2312"/>
          <w:sz w:val="32"/>
          <w:szCs w:val="32"/>
          <w:lang w:val="en-US" w:eastAsia="zh-CN"/>
        </w:rPr>
        <w:t>资产在政府办统一核算</w:t>
      </w:r>
      <w:r>
        <w:rPr>
          <w:rFonts w:hint="eastAsia" w:ascii="仿宋_GB2312" w:eastAsia="仿宋_GB2312"/>
          <w:sz w:val="32"/>
          <w:szCs w:val="32"/>
        </w:rPr>
        <w:t>。</w:t>
      </w:r>
      <w:bookmarkEnd w:id="55"/>
      <w:bookmarkStart w:id="57" w:name="OLE_LINK75"/>
      <w:r>
        <w:rPr>
          <w:rFonts w:hint="eastAsia" w:ascii="仿宋_GB2312" w:eastAsia="仿宋_GB2312"/>
          <w:color w:val="000000" w:themeColor="text1"/>
          <w:sz w:val="32"/>
          <w:szCs w:val="32"/>
        </w:rPr>
        <w:t>其中，</w:t>
      </w:r>
      <w:bookmarkStart w:id="58" w:name="OLE_LINK30"/>
      <w:r>
        <w:rPr>
          <w:rFonts w:hint="eastAsia" w:ascii="仿宋_GB2312" w:eastAsia="仿宋_GB2312"/>
          <w:color w:val="000000" w:themeColor="text1"/>
          <w:sz w:val="32"/>
          <w:szCs w:val="32"/>
        </w:rPr>
        <w:t>因公出国（境）费支出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0%，比上年减少</w:t>
      </w:r>
      <w:r>
        <w:rPr>
          <w:rFonts w:hint="eastAsia" w:ascii="仿宋_GB2312" w:eastAsia="仿宋_GB2312"/>
          <w:sz w:val="32"/>
          <w:szCs w:val="32"/>
          <w:lang w:val="en-US" w:eastAsia="zh-CN"/>
        </w:rPr>
        <w:t>0</w:t>
      </w:r>
      <w:r>
        <w:rPr>
          <w:rFonts w:hint="eastAsia" w:ascii="仿宋_GB2312" w:eastAsia="仿宋_GB2312"/>
          <w:sz w:val="32"/>
          <w:szCs w:val="32"/>
        </w:rPr>
        <w:t>万元，降低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减少的</w:t>
      </w:r>
      <w:r>
        <w:rPr>
          <w:rFonts w:hint="eastAsia" w:ascii="仿宋_GB2312" w:eastAsia="仿宋_GB2312"/>
          <w:sz w:val="32"/>
          <w:szCs w:val="32"/>
        </w:rPr>
        <w:t>原因是：本单位无此项预算安排；</w:t>
      </w:r>
      <w:bookmarkEnd w:id="57"/>
      <w:bookmarkStart w:id="59" w:name="OLE_LINK31"/>
      <w:bookmarkStart w:id="60" w:name="OLE_LINK76"/>
      <w:r>
        <w:rPr>
          <w:rFonts w:hint="eastAsia" w:ascii="仿宋_GB2312" w:eastAsia="仿宋_GB2312"/>
          <w:color w:val="000000" w:themeColor="text1"/>
          <w:sz w:val="32"/>
          <w:szCs w:val="32"/>
        </w:rPr>
        <w:t>公务用车购置及运行维护费支出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0%，比上年减少</w:t>
      </w:r>
      <w:r>
        <w:rPr>
          <w:rFonts w:hint="eastAsia" w:ascii="仿宋_GB2312" w:eastAsia="仿宋_GB2312"/>
          <w:sz w:val="32"/>
          <w:szCs w:val="32"/>
          <w:lang w:val="en-US" w:eastAsia="zh-CN"/>
        </w:rPr>
        <w:t>0</w:t>
      </w:r>
      <w:r>
        <w:rPr>
          <w:rFonts w:hint="eastAsia" w:ascii="仿宋_GB2312" w:eastAsia="仿宋_GB2312"/>
          <w:sz w:val="32"/>
          <w:szCs w:val="32"/>
        </w:rPr>
        <w:t>万元，降低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w:t>
      </w:r>
      <w:r>
        <w:rPr>
          <w:rFonts w:hint="eastAsia" w:ascii="仿宋_GB2312" w:eastAsia="仿宋_GB2312"/>
          <w:sz w:val="32"/>
          <w:szCs w:val="32"/>
          <w:lang w:val="en-US" w:eastAsia="zh-CN"/>
        </w:rPr>
        <w:t>资产在政府办统一核算</w:t>
      </w:r>
      <w:r>
        <w:rPr>
          <w:rFonts w:hint="eastAsia" w:ascii="仿宋_GB2312" w:eastAsia="仿宋_GB2312"/>
          <w:sz w:val="32"/>
          <w:szCs w:val="32"/>
        </w:rPr>
        <w:t>；</w:t>
      </w:r>
      <w:bookmarkEnd w:id="60"/>
      <w:bookmarkStart w:id="61" w:name="OLE_LINK32"/>
      <w:bookmarkStart w:id="62" w:name="OLE_LINK77"/>
      <w:bookmarkStart w:id="63" w:name="OLE_LINK78"/>
      <w:r>
        <w:rPr>
          <w:rFonts w:hint="eastAsia" w:ascii="仿宋_GB2312" w:eastAsia="仿宋_GB2312"/>
          <w:color w:val="000000" w:themeColor="text1"/>
          <w:sz w:val="32"/>
          <w:szCs w:val="32"/>
        </w:rPr>
        <w:t>公务接待费支出</w:t>
      </w:r>
      <w:bookmarkEnd w:id="6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0%，比上年减少</w:t>
      </w:r>
      <w:r>
        <w:rPr>
          <w:rFonts w:hint="eastAsia" w:ascii="仿宋_GB2312" w:eastAsia="仿宋_GB2312"/>
          <w:sz w:val="32"/>
          <w:szCs w:val="32"/>
          <w:lang w:val="en-US" w:eastAsia="zh-CN"/>
        </w:rPr>
        <w:t>0</w:t>
      </w:r>
      <w:r>
        <w:rPr>
          <w:rFonts w:hint="eastAsia" w:ascii="仿宋_GB2312" w:eastAsia="仿宋_GB2312"/>
          <w:sz w:val="32"/>
          <w:szCs w:val="32"/>
        </w:rPr>
        <w:t>万元，降低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原因是：本单位无此项预算安排。</w:t>
      </w:r>
      <w:bookmarkEnd w:id="62"/>
      <w:bookmarkEnd w:id="63"/>
      <w:r>
        <w:rPr>
          <w:rFonts w:hint="eastAsia" w:ascii="仿宋_GB2312" w:eastAsia="仿宋_GB2312"/>
          <w:color w:val="000000" w:themeColor="text1"/>
          <w:sz w:val="32"/>
          <w:szCs w:val="32"/>
        </w:rPr>
        <w:t>具体情况如下：</w:t>
      </w:r>
    </w:p>
    <w:p>
      <w:pPr>
        <w:spacing w:line="540" w:lineRule="exact"/>
        <w:ind w:firstLine="640" w:firstLineChars="200"/>
        <w:rPr>
          <w:rFonts w:hint="eastAsia" w:ascii="仿宋_GB2312" w:eastAsia="仿宋_GB2312"/>
          <w:color w:val="000000" w:themeColor="text1"/>
          <w:sz w:val="32"/>
          <w:szCs w:val="32"/>
          <w:lang w:val="en-US" w:eastAsia="zh-CN"/>
        </w:rPr>
      </w:pPr>
      <w:bookmarkStart w:id="64" w:name="OLE_LINK80"/>
      <w:bookmarkStart w:id="65"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新疆喀什地区英吉沙县人力资源和社会保障局（本级）</w:t>
      </w:r>
      <w:r>
        <w:rPr>
          <w:rFonts w:hint="eastAsia" w:ascii="仿宋_GB2312" w:eastAsia="仿宋_GB2312"/>
          <w:color w:val="000000" w:themeColor="text1"/>
          <w:sz w:val="32"/>
          <w:szCs w:val="32"/>
        </w:rPr>
        <w:t>单位</w:t>
      </w:r>
      <w:bookmarkStart w:id="66" w:name="OLE_LINK33"/>
      <w:r>
        <w:rPr>
          <w:rFonts w:hint="eastAsia" w:ascii="仿宋_GB2312" w:eastAsia="仿宋_GB2312"/>
          <w:color w:val="000000" w:themeColor="text1"/>
          <w:sz w:val="32"/>
          <w:szCs w:val="32"/>
        </w:rPr>
        <w:t>全年</w:t>
      </w:r>
      <w:bookmarkStart w:id="67" w:name="OLE_LINK34"/>
      <w:bookmarkStart w:id="68" w:name="OLE_LINK35"/>
      <w:bookmarkStart w:id="69" w:name="OLE_LINK36"/>
      <w:r>
        <w:rPr>
          <w:rFonts w:hint="eastAsia" w:ascii="仿宋_GB2312" w:eastAsia="仿宋_GB2312"/>
          <w:color w:val="000000" w:themeColor="text1"/>
          <w:sz w:val="32"/>
          <w:szCs w:val="32"/>
        </w:rPr>
        <w:t>使用一般公共预算财政拨款安排的出国（境）团组</w:t>
      </w:r>
      <w:bookmarkEnd w:id="66"/>
      <w:bookmarkEnd w:id="67"/>
      <w:bookmarkEnd w:id="68"/>
      <w:r>
        <w:rPr>
          <w:rFonts w:hint="eastAsia" w:ascii="仿宋_GB2312" w:eastAsia="仿宋_GB2312"/>
          <w:sz w:val="32"/>
          <w:szCs w:val="32"/>
        </w:rPr>
        <w:t>0</w:t>
      </w:r>
      <w:r>
        <w:rPr>
          <w:rFonts w:hint="eastAsia" w:ascii="仿宋_GB2312" w:eastAsia="仿宋_GB2312"/>
          <w:color w:val="000000" w:themeColor="text1"/>
          <w:sz w:val="32"/>
          <w:szCs w:val="32"/>
        </w:rPr>
        <w:t>个</w:t>
      </w:r>
      <w:bookmarkEnd w:id="69"/>
      <w:r>
        <w:rPr>
          <w:rFonts w:hint="eastAsia" w:ascii="仿宋_GB2312" w:eastAsia="仿宋_GB2312"/>
          <w:color w:val="000000" w:themeColor="text1"/>
          <w:sz w:val="32"/>
          <w:szCs w:val="32"/>
        </w:rPr>
        <w:t>，</w:t>
      </w:r>
      <w:bookmarkStart w:id="70"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0"/>
      <w:r>
        <w:rPr>
          <w:rFonts w:hint="eastAsia" w:ascii="仿宋_GB2312" w:eastAsia="仿宋_GB2312"/>
          <w:color w:val="000000" w:themeColor="text1"/>
          <w:sz w:val="32"/>
          <w:szCs w:val="32"/>
        </w:rPr>
        <w:t>。</w:t>
      </w:r>
      <w:bookmarkStart w:id="71" w:name="OLE_LINK38"/>
      <w:r>
        <w:rPr>
          <w:rFonts w:hint="eastAsia" w:ascii="仿宋_GB2312" w:eastAsia="仿宋_GB2312"/>
          <w:color w:val="000000" w:themeColor="text1"/>
          <w:sz w:val="32"/>
          <w:szCs w:val="32"/>
        </w:rPr>
        <w:t>开支内容包括：</w:t>
      </w:r>
      <w:bookmarkEnd w:id="64"/>
      <w:bookmarkEnd w:id="65"/>
      <w:bookmarkEnd w:id="71"/>
      <w:bookmarkStart w:id="72" w:name="OLE_LINK81"/>
      <w:r>
        <w:rPr>
          <w:rFonts w:hint="eastAsia" w:ascii="仿宋_GB2312" w:eastAsia="仿宋_GB2312"/>
          <w:color w:val="000000" w:themeColor="text1"/>
          <w:sz w:val="32"/>
          <w:szCs w:val="32"/>
          <w:lang w:val="en-US" w:eastAsia="zh-CN"/>
        </w:rPr>
        <w:t>无。</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3"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3"/>
      <w:r>
        <w:rPr>
          <w:rFonts w:hint="eastAsia" w:ascii="仿宋_GB2312" w:eastAsia="仿宋_GB2312"/>
          <w:color w:val="000000" w:themeColor="text1"/>
          <w:sz w:val="32"/>
          <w:szCs w:val="32"/>
        </w:rPr>
        <w:t>，</w:t>
      </w:r>
      <w:bookmarkStart w:id="74" w:name="OLE_LINK40"/>
      <w:bookmarkStart w:id="75"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bookmarkEnd w:id="75"/>
      <w:r>
        <w:rPr>
          <w:rFonts w:hint="eastAsia" w:ascii="仿宋_GB2312" w:eastAsia="仿宋_GB2312"/>
          <w:color w:val="000000" w:themeColor="text1"/>
          <w:sz w:val="32"/>
          <w:szCs w:val="32"/>
        </w:rPr>
        <w:t>。主要用于</w:t>
      </w:r>
      <w:r>
        <w:rPr>
          <w:rFonts w:hint="eastAsia" w:ascii="仿宋_GB2312" w:eastAsia="仿宋_GB2312"/>
          <w:sz w:val="32"/>
          <w:szCs w:val="32"/>
        </w:rPr>
        <w:t>本单位</w:t>
      </w:r>
      <w:r>
        <w:rPr>
          <w:rFonts w:hint="eastAsia" w:ascii="仿宋_GB2312" w:eastAsia="仿宋_GB2312"/>
          <w:sz w:val="32"/>
          <w:szCs w:val="32"/>
          <w:lang w:val="en-US" w:eastAsia="zh-CN"/>
        </w:rPr>
        <w:t>资产在政府办统一核算</w:t>
      </w:r>
      <w:r>
        <w:rPr>
          <w:rFonts w:hint="eastAsia" w:ascii="仿宋_GB2312" w:eastAsia="仿宋_GB2312"/>
          <w:color w:val="000000" w:themeColor="text1"/>
          <w:sz w:val="32"/>
          <w:szCs w:val="32"/>
        </w:rPr>
        <w:t>等。</w:t>
      </w:r>
      <w:bookmarkEnd w:id="72"/>
      <w:bookmarkStart w:id="76"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6"/>
    </w:p>
    <w:p>
      <w:pPr>
        <w:spacing w:line="540" w:lineRule="exact"/>
        <w:ind w:firstLine="640" w:firstLineChars="200"/>
        <w:rPr>
          <w:rFonts w:ascii="仿宋_GB2312" w:eastAsia="仿宋_GB2312"/>
          <w:color w:val="000000" w:themeColor="text1"/>
          <w:sz w:val="32"/>
          <w:szCs w:val="32"/>
        </w:rPr>
      </w:pPr>
      <w:bookmarkStart w:id="77"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w:t>
      </w:r>
      <w:r>
        <w:rPr>
          <w:rFonts w:hint="eastAsia" w:ascii="仿宋_GB2312" w:eastAsia="仿宋_GB2312"/>
          <w:color w:val="000000" w:themeColor="text1"/>
          <w:sz w:val="32"/>
          <w:szCs w:val="32"/>
        </w:rPr>
        <w:t>等。</w:t>
      </w:r>
      <w:bookmarkEnd w:id="77"/>
      <w:bookmarkStart w:id="78" w:name="OLE_LINK84"/>
      <w:r>
        <w:rPr>
          <w:rFonts w:hint="eastAsia" w:ascii="仿宋_GB2312" w:eastAsia="仿宋_GB2312"/>
          <w:sz w:val="32"/>
          <w:szCs w:val="32"/>
        </w:rPr>
        <w:t>新疆喀什地区英吉沙县人力资源和社会保障局（本级）</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8"/>
    </w:p>
    <w:p>
      <w:pPr>
        <w:spacing w:line="540" w:lineRule="exact"/>
        <w:ind w:firstLine="640" w:firstLineChars="200"/>
        <w:rPr>
          <w:rFonts w:ascii="仿宋_GB2312" w:hAnsi="宋体" w:eastAsia="仿宋_GB2312" w:cs="宋体"/>
          <w:color w:val="000000" w:themeColor="text1"/>
          <w:kern w:val="0"/>
          <w:sz w:val="32"/>
          <w:szCs w:val="32"/>
        </w:rPr>
      </w:pPr>
      <w:bookmarkStart w:id="79"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w:t>
      </w:r>
      <w:r>
        <w:rPr>
          <w:rFonts w:hint="eastAsia" w:ascii="仿宋_GB2312" w:eastAsia="仿宋_GB2312"/>
          <w:color w:val="000000" w:themeColor="text1"/>
          <w:sz w:val="32"/>
          <w:szCs w:val="32"/>
          <w:lang w:val="en-US" w:eastAsia="zh-CN"/>
        </w:rPr>
        <w:t>资产在政府办统一核算</w:t>
      </w:r>
      <w:r>
        <w:rPr>
          <w:rFonts w:ascii="仿宋_GB2312" w:eastAsia="仿宋_GB2312"/>
          <w:color w:val="000000" w:themeColor="text1"/>
          <w:sz w:val="32"/>
          <w:szCs w:val="32"/>
        </w:rPr>
        <w:t>。</w:t>
      </w:r>
      <w:bookmarkEnd w:id="79"/>
      <w:bookmarkStart w:id="80" w:name="OLE_LINK87"/>
      <w:bookmarkStart w:id="81"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bookmarkEnd w:id="80"/>
      <w:bookmarkEnd w:id="81"/>
      <w:bookmarkStart w:id="82" w:name="OLE_LINK89"/>
      <w:bookmarkStart w:id="83"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bookmarkEnd w:id="82"/>
      <w:bookmarkEnd w:id="83"/>
      <w:bookmarkStart w:id="84"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w:t>
      </w:r>
      <w:r>
        <w:rPr>
          <w:rFonts w:hint="eastAsia" w:ascii="仿宋_GB2312" w:eastAsia="仿宋_GB2312"/>
          <w:color w:val="000000" w:themeColor="text1"/>
          <w:sz w:val="32"/>
          <w:szCs w:val="32"/>
          <w:lang w:val="en-US" w:eastAsia="zh-CN"/>
        </w:rPr>
        <w:t>资产在政府办统一核算</w:t>
      </w:r>
      <w:r>
        <w:rPr>
          <w:rFonts w:ascii="仿宋_GB2312" w:eastAsia="仿宋_GB2312"/>
          <w:color w:val="000000" w:themeColor="text1"/>
          <w:sz w:val="32"/>
          <w:szCs w:val="32"/>
        </w:rPr>
        <w:t>；</w:t>
      </w:r>
      <w:bookmarkEnd w:id="84"/>
      <w:bookmarkStart w:id="85"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5"/>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2018年度新疆喀什地区英吉沙县人力资源和社会保障局（本级）</w:t>
      </w:r>
      <w:r>
        <w:rPr>
          <w:rFonts w:hint="eastAsia" w:ascii="仿宋_GB2312" w:eastAsia="仿宋_GB2312"/>
          <w:color w:val="000000" w:themeColor="text1"/>
          <w:sz w:val="32"/>
          <w:szCs w:val="32"/>
          <w:lang w:val="en-US" w:eastAsia="zh-CN"/>
        </w:rPr>
        <w:t>行政单位</w:t>
      </w:r>
      <w:r>
        <w:rPr>
          <w:rFonts w:hint="eastAsia" w:ascii="仿宋_GB2312" w:eastAsia="仿宋_GB2312"/>
          <w:color w:val="000000" w:themeColor="text1"/>
          <w:sz w:val="32"/>
          <w:szCs w:val="32"/>
        </w:rPr>
        <w:t>机关运行经费支出13.13万元，</w:t>
      </w:r>
      <w:r>
        <w:rPr>
          <w:rFonts w:hint="eastAsia" w:ascii="仿宋_GB2312" w:eastAsia="仿宋_GB2312"/>
          <w:color w:val="000000" w:themeColor="text1"/>
          <w:sz w:val="32"/>
          <w:szCs w:val="32"/>
          <w:lang w:val="en-US" w:eastAsia="zh-CN"/>
        </w:rPr>
        <w:t>比上年</w:t>
      </w:r>
      <w:r>
        <w:rPr>
          <w:rFonts w:hint="eastAsia" w:ascii="仿宋_GB2312" w:eastAsia="仿宋_GB2312"/>
          <w:color w:val="000000" w:themeColor="text1"/>
          <w:sz w:val="32"/>
          <w:szCs w:val="32"/>
        </w:rPr>
        <w:t>减少12.31万元，</w:t>
      </w:r>
      <w:r>
        <w:rPr>
          <w:rFonts w:hint="eastAsia" w:ascii="仿宋_GB2312" w:eastAsia="仿宋_GB2312"/>
          <w:color w:val="000000" w:themeColor="text1"/>
          <w:sz w:val="32"/>
          <w:szCs w:val="32"/>
          <w:lang w:val="en-US" w:eastAsia="zh-CN"/>
        </w:rPr>
        <w:t>降低</w:t>
      </w:r>
      <w:r>
        <w:rPr>
          <w:rFonts w:hint="eastAsia" w:ascii="仿宋_GB2312" w:eastAsia="仿宋_GB2312"/>
          <w:color w:val="000000" w:themeColor="text1"/>
          <w:sz w:val="32"/>
          <w:szCs w:val="32"/>
        </w:rPr>
        <w:t>48.39%，减少的主要原因是：县级财政安排机关运行经费减少。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6" w:name="OLE_LINK45"/>
      <w:r>
        <w:rPr>
          <w:rFonts w:hint="eastAsia" w:ascii="仿宋_GB2312" w:eastAsia="仿宋_GB2312"/>
          <w:color w:val="000000" w:themeColor="text1"/>
          <w:sz w:val="32"/>
          <w:szCs w:val="32"/>
        </w:rPr>
        <w:t>政府采购支出总额</w:t>
      </w:r>
      <w:bookmarkEnd w:id="86"/>
      <w:r>
        <w:rPr>
          <w:rFonts w:hint="eastAsia" w:ascii="仿宋_GB2312" w:eastAsia="仿宋_GB2312"/>
          <w:sz w:val="32"/>
          <w:szCs w:val="32"/>
        </w:rPr>
        <w:t>5.46</w:t>
      </w:r>
      <w:r>
        <w:rPr>
          <w:rFonts w:hint="eastAsia" w:ascii="仿宋_GB2312" w:eastAsia="仿宋_GB2312"/>
          <w:color w:val="000000" w:themeColor="text1"/>
          <w:sz w:val="32"/>
          <w:szCs w:val="32"/>
        </w:rPr>
        <w:t>万元，其中：</w:t>
      </w:r>
      <w:bookmarkStart w:id="87" w:name="OLE_LINK46"/>
      <w:r>
        <w:rPr>
          <w:rFonts w:hint="eastAsia" w:ascii="仿宋_GB2312" w:eastAsia="仿宋_GB2312"/>
          <w:color w:val="000000" w:themeColor="text1"/>
          <w:sz w:val="32"/>
          <w:szCs w:val="32"/>
        </w:rPr>
        <w:t>政府采购货物支出</w:t>
      </w:r>
      <w:bookmarkEnd w:id="87"/>
      <w:r>
        <w:rPr>
          <w:rFonts w:hint="eastAsia" w:ascii="仿宋_GB2312" w:eastAsia="仿宋_GB2312"/>
          <w:sz w:val="32"/>
          <w:szCs w:val="32"/>
        </w:rPr>
        <w:t>4.87</w:t>
      </w:r>
      <w:r>
        <w:rPr>
          <w:rFonts w:hint="eastAsia" w:ascii="仿宋_GB2312" w:eastAsia="仿宋_GB2312"/>
          <w:color w:val="000000" w:themeColor="text1"/>
          <w:sz w:val="32"/>
          <w:szCs w:val="32"/>
        </w:rPr>
        <w:t>万元、</w:t>
      </w:r>
      <w:bookmarkStart w:id="88" w:name="OLE_LINK47"/>
      <w:r>
        <w:rPr>
          <w:rFonts w:hint="eastAsia" w:ascii="仿宋_GB2312" w:eastAsia="仿宋_GB2312"/>
          <w:color w:val="000000" w:themeColor="text1"/>
          <w:sz w:val="32"/>
          <w:szCs w:val="32"/>
        </w:rPr>
        <w:t>政府采购工程支出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8"/>
      <w:r>
        <w:rPr>
          <w:rFonts w:hint="eastAsia" w:ascii="仿宋_GB2312" w:eastAsia="仿宋_GB2312"/>
          <w:color w:val="000000" w:themeColor="text1"/>
          <w:sz w:val="32"/>
          <w:szCs w:val="32"/>
        </w:rPr>
        <w:t>政府采购服务支出</w:t>
      </w:r>
      <w:bookmarkEnd w:id="89"/>
      <w:r>
        <w:rPr>
          <w:rFonts w:hint="eastAsia" w:ascii="仿宋_GB2312" w:eastAsia="仿宋_GB2312"/>
          <w:sz w:val="32"/>
          <w:szCs w:val="32"/>
        </w:rPr>
        <w:t>0.59</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0"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本单位无其他用车；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0"/>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lang w:eastAsia="zh-CN"/>
        </w:rPr>
        <w:t>。</w:t>
      </w:r>
      <w:r>
        <w:rPr>
          <w:rFonts w:ascii="仿宋_GB2312" w:eastAsia="仿宋_GB2312"/>
          <w:sz w:val="32"/>
          <w:szCs w:val="32"/>
        </w:rPr>
        <w:t>英吉沙县人力资源和社会保障局2018年度部门预算总额为2527.84万元，执行金额为2527.84万元，预算执行率为100%。本次自评共涉及项目数4个，其中已完成项目4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自主择业军转干部生活补助项目绩效自评综述：根据年初设定的绩效目标，该项目绩效自评得分为92分。项目全年预算数为18.27万元，执行数为18.27万元，完成预算的100%。主要产出和效果：本项目共设置一级指标3个，二级指标7个，三级指标10个，其中已完成三级指标10个，指标完成率为100%。
经济性：主要根据项目实际情况和项目经济效益设置的指标进行综合分析，主要包括项目成本控制情况和项目成本节约情况。
效率性：按照资金用途专款专用，及时缴纳。
效益性：及时缴纳自主择业军转干部医疗费，能让自主择业军转干部及时就医，不至于因为医疗费延交带来不必要的麻烦，每年年底能及时将自主择业军转干部的取暖费发放到位，让他们享受上该享受的待遇，确保自主择业军转干部的各项待遇落到实处。稳固了自主择业军转干部的人心。发现的问题及原因：无。下一步改进措施： 单位继续安排专人为自主择业军转干部及时缴纳社保，按时发放取暖费，让自主择业军转干部依法享受社保服务，能让自主择业军转干部及时就医，不至于因为医疗费延交带来不必要的麻烦，让他们享受上该享受的待遇，确保自主择业军转干部的各项待遇落到实处。稳固自主择业军转干部人心。</w:t>
      </w:r>
    </w:p>
    <w:p>
      <w:pPr>
        <w:spacing w:line="540" w:lineRule="exact"/>
        <w:ind w:left="-1" w:right="-1" w:firstLine="646"/>
        <w:jc w:val="left"/>
      </w:pPr>
      <w:r>
        <w:rPr>
          <w:rFonts w:ascii="仿宋_GB2312" w:hAnsi="仿宋_GB2312" w:eastAsia="仿宋_GB2312" w:cs="仿宋_GB2312"/>
          <w:b w:val="0"/>
          <w:color w:val="000000"/>
          <w:sz w:val="32"/>
          <w:u w:val="none"/>
        </w:rPr>
        <w:t>2、纺织服装企业岗前培训补贴及人才引进补贴项目绩效自评综述：根据年初设定的绩效目标，该项目绩效自评得分为93分。项目全年预算数为538.46万元，执行数为538.46万元，完成预算的100%。主要产出和效果：通过纺织服装岗前培训，吸纳当地城乡富余劳动力到纺织服装企业就业，树立正确的就业观、择业观，带动就业，增加收入，提高群众的脱贫意识。拓宽了就业渠道，把农村无业群众转变为产业工人，强化了竞争意识和参与意识，提高了职业素养和就业技能，解决了妇女生产生活上的困难，社会地位和家庭地位得到了提升。使各族群众用勤劳改变命运的意识明显增强，同时促进了产业发展，活跃了当地经济，加快了脱贫步伐，维护了地方</w:t>
      </w:r>
      <w:r>
        <w:rPr>
          <w:rFonts w:hint="eastAsia" w:ascii="仿宋_GB2312" w:hAnsi="仿宋_GB2312" w:eastAsia="仿宋_GB2312" w:cs="仿宋_GB2312"/>
          <w:b w:val="0"/>
          <w:color w:val="000000"/>
          <w:sz w:val="32"/>
          <w:u w:val="none"/>
          <w:lang w:eastAsia="zh-CN"/>
        </w:rPr>
        <w:t>和谐</w:t>
      </w:r>
      <w:r>
        <w:rPr>
          <w:rFonts w:ascii="仿宋_GB2312" w:hAnsi="仿宋_GB2312" w:eastAsia="仿宋_GB2312" w:cs="仿宋_GB2312"/>
          <w:b w:val="0"/>
          <w:color w:val="000000"/>
          <w:sz w:val="32"/>
          <w:u w:val="none"/>
        </w:rPr>
        <w:t>。发现的问题及原因：1、农村富余劳动力特别是建档立卡贫困劳动力文化素质不高、国家通用语言水平较低、“等靠要”思想严重，内生动力不足。需要持续做好群众思想教育和引导工作，进一步加大国家通用语言和就业技能培训力度。2、部分纺织服装企业管理水平低，订单不</w:t>
      </w:r>
      <w:r>
        <w:rPr>
          <w:rFonts w:hint="eastAsia" w:ascii="仿宋_GB2312" w:hAnsi="仿宋_GB2312" w:eastAsia="仿宋_GB2312" w:cs="仿宋_GB2312"/>
          <w:b w:val="0"/>
          <w:color w:val="000000"/>
          <w:sz w:val="32"/>
          <w:u w:val="none"/>
          <w:lang w:eastAsia="zh-CN"/>
        </w:rPr>
        <w:t>固定</w:t>
      </w:r>
      <w:r>
        <w:rPr>
          <w:rFonts w:ascii="仿宋_GB2312" w:hAnsi="仿宋_GB2312" w:eastAsia="仿宋_GB2312" w:cs="仿宋_GB2312"/>
          <w:b w:val="0"/>
          <w:color w:val="000000"/>
          <w:sz w:val="32"/>
          <w:u w:val="none"/>
        </w:rPr>
        <w:t>，导致就业人员收入偏低，需要加强纺织服装企业用工行为的监督检查和企业管理人员的培训。下一步改进措施： 1、持续加大纺织服装等劳动密集型就业补助政策宣传力度，及时落实各项补贴政策，提高企业投资办厂和吸纳就业的积极性；2、进一步加强纺织服装岗前培训力度，提高就业人员技术水平，鼓励城乡富余劳动力多渠道多形式就业，增强就业</w:t>
      </w:r>
      <w:r>
        <w:rPr>
          <w:rFonts w:hint="eastAsia" w:ascii="仿宋_GB2312" w:hAnsi="仿宋_GB2312" w:eastAsia="仿宋_GB2312" w:cs="仿宋_GB2312"/>
          <w:b w:val="0"/>
          <w:color w:val="000000"/>
          <w:sz w:val="32"/>
          <w:u w:val="none"/>
          <w:lang w:eastAsia="zh-CN"/>
        </w:rPr>
        <w:t>固定</w:t>
      </w:r>
      <w:r>
        <w:rPr>
          <w:rFonts w:ascii="仿宋_GB2312" w:hAnsi="仿宋_GB2312" w:eastAsia="仿宋_GB2312" w:cs="仿宋_GB2312"/>
          <w:b w:val="0"/>
          <w:color w:val="000000"/>
          <w:sz w:val="32"/>
          <w:u w:val="none"/>
        </w:rPr>
        <w:t>性。积极促进就业容量大的纺织、服装等劳动密集型企业招录当地员工，改善就业结构，扩大就业容量，为脱贫攻坚打下坚实的基础。</w:t>
      </w:r>
    </w:p>
    <w:p>
      <w:pPr>
        <w:spacing w:line="540" w:lineRule="exact"/>
        <w:ind w:left="-1" w:right="-1" w:firstLine="646"/>
        <w:jc w:val="left"/>
      </w:pPr>
      <w:r>
        <w:rPr>
          <w:rFonts w:ascii="仿宋_GB2312" w:hAnsi="仿宋_GB2312" w:eastAsia="仿宋_GB2312" w:cs="仿宋_GB2312"/>
          <w:b w:val="0"/>
          <w:color w:val="000000"/>
          <w:sz w:val="32"/>
          <w:u w:val="none"/>
        </w:rPr>
        <w:t>3、就业补助资金项目绩效自评综述：根据年初设定的绩效目标，该项目绩效自评得分为93分。项目全年预算数为1,970.11万元，执行数为1,970.11万元，完成预算的100%。主要产出和效果：本项目共设置一级指标3个，二级指标8个，三级指标15个，其中已完成三级指标15个，指标完成率为100%。
经济性：主要根据项目实际情况和项目经济效益设置的指标进行综合分析，主要包括项目成本控制情况和项目成本节约情况。
效率性：按照资金用途专款专用，材料齐全后及时拨付。
效益性：通过资金的使用，提高城乡劳动者素质，充分发挥培训促进就业，扩大就业人数，提高培训人员素质和技能，提升人才市场培育能力和推动市场化作用的促进能力。社会保险补贴政策的落实,促进就业困难人员灵活就业的决心,降低失业率,调动他们接续社会保险的积极性,对就业、维护社会和谐起到了积极的作用。发现的问题及原因：无。下一步改进措施： 1、加大贫困劳动力职业技能培训力度，提前谋划，周密部署，按照相关要求认真组织开展培训，确保有就业和培训意愿的劳动力接受职业技能培训</w:t>
      </w:r>
      <w:r>
        <w:rPr>
          <w:rFonts w:hint="eastAsia" w:ascii="仿宋_GB2312" w:hAnsi="仿宋_GB2312" w:eastAsia="仿宋_GB2312" w:cs="仿宋_GB2312"/>
          <w:b w:val="0"/>
          <w:color w:val="000000"/>
          <w:sz w:val="32"/>
          <w:u w:val="none"/>
          <w:lang w:eastAsia="zh-CN"/>
        </w:rPr>
        <w:t>。</w:t>
      </w:r>
      <w:r>
        <w:rPr>
          <w:rFonts w:ascii="仿宋_GB2312" w:hAnsi="仿宋_GB2312" w:eastAsia="仿宋_GB2312" w:cs="仿宋_GB2312"/>
          <w:b w:val="0"/>
          <w:color w:val="000000"/>
          <w:sz w:val="32"/>
          <w:u w:val="none"/>
        </w:rPr>
        <w:t>2、加大就业扶贫政策宣传力度，提高群众知晓率和参与度。</w:t>
      </w:r>
    </w:p>
    <w:p>
      <w:pPr>
        <w:spacing w:line="540" w:lineRule="exact"/>
        <w:ind w:left="-1" w:right="-1" w:firstLine="646"/>
        <w:jc w:val="left"/>
      </w:pPr>
      <w:r>
        <w:rPr>
          <w:rFonts w:ascii="仿宋_GB2312" w:hAnsi="仿宋_GB2312" w:eastAsia="仿宋_GB2312" w:cs="仿宋_GB2312"/>
          <w:b w:val="0"/>
          <w:color w:val="000000"/>
          <w:sz w:val="32"/>
          <w:u w:val="none"/>
        </w:rPr>
        <w:t>4、城乡居民基本养老保险工作经费项目绩效自评综述：根据年初设定的绩效目标，该项目绩效自评得分为92分。项目全年预算数为1万元，执行数为1万元，完成预算的100%。主要产出和效果：受益群众比较满意，增加了群众对城乡居民养老保险的知晓率，达到60岁以上人群感受到养老带来的保障。发现的问题及原因：部分人参保意识不强，缴费积极性不高，认为将来政策变了，会享受不到基础养老待遇，也有部分年轻人认为自己还年轻，早参保晚参保一个样，等到年岁大了再参保也不迟等情况，缺乏对养老保险政策的认知。下一步改进措施： 进一步完善城乡居民养老保险工作制度；采取发放宣传材料、专栏等多种形式加大城乡居民养老保险工作宣传力度，营造工作氛围；继续扩面征缴，提高服务质量。夯实政策基础，促进城乡居民养老保险更好更快的健康发展，落实好养老金待遇，赢得广大城乡居民的好评，进一步激发广大群众的参保意识。强化宣传，营造工作氛围，提高思想认识，切实转变群众观念，让群众认识到老有所养带来的保障，引导群众自觉的早参保、多缴费，吸引群众了解更多的城乡居民养老保险政策。</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06（项）指：军队转业干部安置。221（类）02（款）01（项）指：住房公积金。201（类）10（款）01（项）指：行政运行。208（类）07（款）99（项）指：其他就业补助支出。215（类）02（款）04（项）指：纺织业。208（类）26（款）02（项）指：财政对城乡居民基本养老保险基金的补助。208（类）05（款）05（项）指：机关事业单位基本养老保险缴费支出。208（类）09（款）99（项）指：其他退役安置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英吉沙县人力资源和社会保障局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377F"/>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8B472FA"/>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0223D79"/>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20B3D55"/>
    <w:rsid w:val="336D0D6F"/>
    <w:rsid w:val="352E4BEC"/>
    <w:rsid w:val="37DD5594"/>
    <w:rsid w:val="38F24FA8"/>
    <w:rsid w:val="3A98342A"/>
    <w:rsid w:val="3AB6780E"/>
    <w:rsid w:val="3AD56D70"/>
    <w:rsid w:val="3B2920C2"/>
    <w:rsid w:val="3BE41ABD"/>
    <w:rsid w:val="3C5421A9"/>
    <w:rsid w:val="3D903B21"/>
    <w:rsid w:val="3E695F32"/>
    <w:rsid w:val="3F440741"/>
    <w:rsid w:val="41FC306C"/>
    <w:rsid w:val="44BE5554"/>
    <w:rsid w:val="451E0908"/>
    <w:rsid w:val="452C2D31"/>
    <w:rsid w:val="45D26E14"/>
    <w:rsid w:val="46A541B1"/>
    <w:rsid w:val="48C57772"/>
    <w:rsid w:val="49782886"/>
    <w:rsid w:val="4A6F0D28"/>
    <w:rsid w:val="4AAF085C"/>
    <w:rsid w:val="4AEB7E60"/>
    <w:rsid w:val="4B4B135B"/>
    <w:rsid w:val="4BC7055F"/>
    <w:rsid w:val="4CB34540"/>
    <w:rsid w:val="4CFC7DB2"/>
    <w:rsid w:val="4E7C187D"/>
    <w:rsid w:val="508941AD"/>
    <w:rsid w:val="50E65530"/>
    <w:rsid w:val="51457139"/>
    <w:rsid w:val="51574DBD"/>
    <w:rsid w:val="516A6E49"/>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4A0D61"/>
    <w:rsid w:val="64700DE9"/>
    <w:rsid w:val="65C613BD"/>
    <w:rsid w:val="65FD118C"/>
    <w:rsid w:val="67F2067B"/>
    <w:rsid w:val="682C3D89"/>
    <w:rsid w:val="68611305"/>
    <w:rsid w:val="686E0A17"/>
    <w:rsid w:val="6A162DE0"/>
    <w:rsid w:val="6A331428"/>
    <w:rsid w:val="6B2E5CB6"/>
    <w:rsid w:val="6B3D4886"/>
    <w:rsid w:val="6CE35699"/>
    <w:rsid w:val="6DF8675E"/>
    <w:rsid w:val="6EA80098"/>
    <w:rsid w:val="6F8D70FF"/>
    <w:rsid w:val="6FFE5011"/>
    <w:rsid w:val="71270739"/>
    <w:rsid w:val="7178734D"/>
    <w:rsid w:val="71791096"/>
    <w:rsid w:val="717B0C34"/>
    <w:rsid w:val="71BF63AB"/>
    <w:rsid w:val="71FB78FD"/>
    <w:rsid w:val="7275064A"/>
    <w:rsid w:val="733F750B"/>
    <w:rsid w:val="735702E2"/>
    <w:rsid w:val="765F635A"/>
    <w:rsid w:val="76B73454"/>
    <w:rsid w:val="76D254BD"/>
    <w:rsid w:val="77727ACD"/>
    <w:rsid w:val="78071142"/>
    <w:rsid w:val="79296B37"/>
    <w:rsid w:val="7A4C4C40"/>
    <w:rsid w:val="7AA0518E"/>
    <w:rsid w:val="7B041636"/>
    <w:rsid w:val="7CA86749"/>
    <w:rsid w:val="7CC92245"/>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2021-06-04T05:50:03Z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F9E30D5F7F704094A6DF3A7AE6BEFD93</vt:lpwstr>
  </property>
</Properties>
</file>